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учитель\Рабочий стол\Сканиров титульные положения\т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иров титульные положения\терех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</w:p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</w:p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</w:p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</w:p>
    <w:p w:rsidR="00A36979" w:rsidRDefault="00A36979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</w:pPr>
    </w:p>
    <w:p w:rsidR="00D1183D" w:rsidRPr="00D1183D" w:rsidRDefault="00D1183D" w:rsidP="00D1183D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  О КЛАССНОМ ЧАСЕ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            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  формирования классного коллектива и развития его членов.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2. Задачи классного часа.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2.1.Обогащение сознания учащихся знаниями о природе, обществе, технике, деятельности человека.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2.2.Формирование у детей умений и навыков мыслительной и практической деятельности.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2.3.Содействие становлению и проявлению субъективности и индивидуальности учащихся, их творческих способностей.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2.4.Формирование классного коллектива как благоприятной среды развития и жизнедеятельности школьников.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3. Функции классного часа.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3.1. Просветительская – расширяет круг тех знаний учащихся, которые не нашли отражения в учебной программе;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3.2.Ориентирующая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3.4.Формирующая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4. Организация и проведение классного часа.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4.1. Классный час в школе является одной из форм организации воспитательной деятельности классного руководителя с классным коллективом.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4.2.Тематика классных часов определяется классным 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руководителем 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в конце каждого учебного года на будущий год.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4.3.Традиционные классные часы на учебный год определяются в соответствии с общешкольным планом мероприятий, в соответствии с анализом воспитательной работы прошедшего года, с целями и задачами на предстоящий учебный год.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. Классный руководитель при подготовке и проведении классного часа  является его  основным координатором и  несет ответственность за реализацию воспитательного потенциала классного часа.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4.5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. Форму и место проведения классного часа выбирает классный коллектив под руководством классного руководителя.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4.6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. Классный руководитель вносит в расписание 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классных часов день недели проведения классного часа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4.7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. В течение учебного года каждый руководитель проводит один открытый классный час с представлением в методическую копилку школы одну сценарную разработку тематического классного часа.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lastRenderedPageBreak/>
        <w:t>4.8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. Периодичность проведения </w:t>
      </w:r>
      <w:proofErr w:type="gramStart"/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тематических</w:t>
      </w:r>
      <w:proofErr w:type="gramEnd"/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классных часов—не менее 1 раза в месяц.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4.9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. Контроль осуществляют заместитель директора по воспитательной работе.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5.Требования к содержанию классного часа: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5.1. Классные часы должны быть построены так, чтобы в своем содержании они шли от </w:t>
      </w:r>
      <w:proofErr w:type="gramStart"/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к сложному, от информации к оценкам, от оценок – к суждениям.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5.2. 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5.3. 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5.4. 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5.5. 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6.   Формы проведения классных часов.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D1183D" w:rsidRPr="00D1183D" w:rsidTr="00A66074">
        <w:tc>
          <w:tcPr>
            <w:tcW w:w="4785" w:type="dxa"/>
            <w:hideMark/>
          </w:tcPr>
          <w:p w:rsidR="00D1183D" w:rsidRPr="00D1183D" w:rsidRDefault="00D1183D" w:rsidP="00A66074">
            <w:pP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proofErr w:type="gramStart"/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Дискуссионные формы: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диспут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дискуссия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конференция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круглый стол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вечер вопросов и ответов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встреча с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приглашенными людьми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лекция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лекторий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аукцион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Формы состязательного характера: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конкурс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викторина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путешествие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КВН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эстафета полезных дел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смотр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парад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п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резентация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турнир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олимпиада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Творческие формы: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фестиваль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выставка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устный журнал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живая газета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lastRenderedPageBreak/>
              <w:t>- творческий труд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представление (проектов)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юморина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спектакль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концерт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ярмарка</w:t>
            </w:r>
            <w:proofErr w:type="gramEnd"/>
          </w:p>
        </w:tc>
        <w:tc>
          <w:tcPr>
            <w:tcW w:w="4785" w:type="dxa"/>
            <w:hideMark/>
          </w:tcPr>
          <w:p w:rsidR="00D1183D" w:rsidRPr="00D1183D" w:rsidRDefault="00D1183D" w:rsidP="00A66074">
            <w:pP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Игровые формы: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ролевые игры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с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южетные игры</w:t>
            </w:r>
            <w:r w:rsidR="00A66074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интеллектуальные игры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  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Формы психологического просвещения: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тренинг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исследование;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Подвижные формы: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веселые старты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малая олимпиада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школьная олимпиада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день..</w:t>
            </w:r>
            <w:proofErr w:type="gramStart"/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атлетики, здоровья и т.д.)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Формы работы вне школы:</w:t>
            </w:r>
            <w:r w:rsidRPr="00D1183D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- экскурсия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поход</w:t>
            </w:r>
            <w:r w:rsidRPr="00D1183D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br/>
              <w:t>- выход (концерт, театральное представление)</w:t>
            </w:r>
          </w:p>
        </w:tc>
      </w:tr>
    </w:tbl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ru-RU"/>
        </w:rPr>
        <w:t>7.Оценка качества классного часа.</w:t>
      </w:r>
    </w:p>
    <w:p w:rsidR="00D1183D" w:rsidRPr="00D1183D" w:rsidRDefault="00D1183D" w:rsidP="00D175F9">
      <w:pPr>
        <w:shd w:val="clear" w:color="auto" w:fill="FFFFFF"/>
        <w:spacing w:after="0" w:line="240" w:lineRule="auto"/>
        <w:ind w:firstLine="567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Качество классного часа оценивается по критериям внешней и внутренней эффективности.</w:t>
      </w:r>
      <w:r w:rsidR="00D175F9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 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Инструментарием оценки внутренней эффективности классного часа являются отзывы, эссе учеников, которые они пи</w:t>
      </w:r>
      <w:r w:rsidR="00D175F9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 xml:space="preserve">шут по окончании классного часа. </w:t>
      </w: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Внешнюю эффективность оценивает зам. директора по ВР, который  должен посетить не менее 1 классного часа в месяц.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 </w:t>
      </w:r>
    </w:p>
    <w:p w:rsidR="00D1183D" w:rsidRPr="00D1183D" w:rsidRDefault="00D1183D" w:rsidP="00D1183D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 w:rsidRPr="00D1183D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   </w:t>
      </w:r>
    </w:p>
    <w:p w:rsidR="002F13A9" w:rsidRPr="00D1183D" w:rsidRDefault="002F13A9" w:rsidP="00D1183D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sectPr w:rsidR="002F13A9" w:rsidRPr="00D1183D" w:rsidSect="002F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3D"/>
    <w:rsid w:val="002F13A9"/>
    <w:rsid w:val="00475971"/>
    <w:rsid w:val="009B3338"/>
    <w:rsid w:val="00A36979"/>
    <w:rsid w:val="00A66074"/>
    <w:rsid w:val="00D1183D"/>
    <w:rsid w:val="00D1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83D"/>
    <w:rPr>
      <w:b/>
      <w:bCs/>
    </w:rPr>
  </w:style>
  <w:style w:type="character" w:customStyle="1" w:styleId="apple-converted-space">
    <w:name w:val="apple-converted-space"/>
    <w:basedOn w:val="a0"/>
    <w:rsid w:val="00D1183D"/>
  </w:style>
  <w:style w:type="paragraph" w:styleId="a4">
    <w:name w:val="Normal (Web)"/>
    <w:basedOn w:val="a"/>
    <w:uiPriority w:val="99"/>
    <w:semiHidden/>
    <w:unhideWhenUsed/>
    <w:rsid w:val="00D1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2015-07-24T03:04:00Z</dcterms:created>
  <dcterms:modified xsi:type="dcterms:W3CDTF">2015-07-31T03:47:00Z</dcterms:modified>
</cp:coreProperties>
</file>